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8933AC" w:rsidRDefault="009E0861" w:rsidP="00781082">
      <w:pPr>
        <w:tabs>
          <w:tab w:val="left" w:pos="1843"/>
        </w:tabs>
        <w:spacing w:after="0" w:line="276" w:lineRule="auto"/>
        <w:jc w:val="both"/>
        <w:rPr>
          <w:rFonts w:ascii="Tahoma" w:hAnsi="Tahoma" w:cs="Tahoma"/>
          <w:b/>
          <w:sz w:val="24"/>
          <w:szCs w:val="24"/>
        </w:rPr>
      </w:pPr>
      <w:r w:rsidRPr="008933AC">
        <w:rPr>
          <w:rFonts w:ascii="Tahoma" w:hAnsi="Tahoma" w:cs="Tahoma"/>
          <w:b/>
          <w:sz w:val="24"/>
          <w:szCs w:val="24"/>
        </w:rPr>
        <w:t xml:space="preserve">VOTO PARTICULAR QUE FORMULA EL COMISIONADO LUIS GUSTAVO PARRA NORIEGA, EN RELACIÓN CON LA RESOLUCIÓN DEL RECURSO DE REVISIÓN </w:t>
      </w:r>
      <w:r w:rsidR="00DE4452" w:rsidRPr="00DE4452">
        <w:rPr>
          <w:rFonts w:ascii="Tahoma" w:hAnsi="Tahoma" w:cs="Tahoma"/>
          <w:b/>
          <w:sz w:val="24"/>
          <w:szCs w:val="24"/>
        </w:rPr>
        <w:t>029</w:t>
      </w:r>
      <w:r w:rsidR="00CF1B14">
        <w:rPr>
          <w:rFonts w:ascii="Tahoma" w:hAnsi="Tahoma" w:cs="Tahoma"/>
          <w:b/>
          <w:sz w:val="24"/>
          <w:szCs w:val="24"/>
        </w:rPr>
        <w:t>90</w:t>
      </w:r>
      <w:r w:rsidR="00DE4452" w:rsidRPr="00DE4452">
        <w:rPr>
          <w:rFonts w:ascii="Tahoma" w:hAnsi="Tahoma" w:cs="Tahoma"/>
          <w:b/>
          <w:sz w:val="24"/>
          <w:szCs w:val="24"/>
        </w:rPr>
        <w:t xml:space="preserve">/INFOEM/IP/RR/2018 </w:t>
      </w:r>
      <w:r w:rsidR="00DE4452" w:rsidRPr="00781082">
        <w:rPr>
          <w:rFonts w:ascii="Tahoma" w:hAnsi="Tahoma" w:cs="Tahoma"/>
          <w:b/>
          <w:caps/>
          <w:sz w:val="24"/>
          <w:szCs w:val="24"/>
        </w:rPr>
        <w:t>y su acumulado</w:t>
      </w:r>
      <w:r w:rsidRPr="00781082">
        <w:rPr>
          <w:rFonts w:ascii="Tahoma" w:hAnsi="Tahoma" w:cs="Tahoma"/>
          <w:b/>
          <w:caps/>
          <w:sz w:val="24"/>
          <w:szCs w:val="24"/>
        </w:rPr>
        <w:t>,</w:t>
      </w:r>
      <w:r w:rsidRPr="008933AC">
        <w:rPr>
          <w:rFonts w:ascii="Tahoma" w:hAnsi="Tahoma" w:cs="Tahoma"/>
          <w:b/>
          <w:sz w:val="24"/>
          <w:szCs w:val="24"/>
        </w:rPr>
        <w:t xml:space="preserve"> PROMOVIDO EN CONTRA DE</w:t>
      </w:r>
      <w:r w:rsidR="00962B86" w:rsidRPr="008933AC">
        <w:rPr>
          <w:rFonts w:ascii="Tahoma" w:hAnsi="Tahoma" w:cs="Tahoma"/>
          <w:b/>
          <w:sz w:val="24"/>
          <w:szCs w:val="24"/>
        </w:rPr>
        <w:t xml:space="preserve">L AYUNTAMIENTO DE </w:t>
      </w:r>
      <w:r w:rsidR="00CF1B14">
        <w:rPr>
          <w:rFonts w:ascii="Tahoma" w:hAnsi="Tahoma" w:cs="Tahoma"/>
          <w:b/>
          <w:sz w:val="24"/>
          <w:szCs w:val="24"/>
        </w:rPr>
        <w:t>TEPETLAOXTOC</w:t>
      </w:r>
      <w:r w:rsidRPr="008933AC">
        <w:rPr>
          <w:rFonts w:ascii="Tahoma" w:hAnsi="Tahoma" w:cs="Tahoma"/>
          <w:b/>
          <w:sz w:val="24"/>
          <w:szCs w:val="24"/>
        </w:rPr>
        <w:t>.</w:t>
      </w:r>
    </w:p>
    <w:p w:rsidR="009E0861" w:rsidRPr="008933AC" w:rsidRDefault="009E0861" w:rsidP="00A462CB">
      <w:pPr>
        <w:spacing w:after="0" w:line="276" w:lineRule="auto"/>
        <w:jc w:val="both"/>
        <w:rPr>
          <w:rFonts w:ascii="Tahoma" w:hAnsi="Tahoma" w:cs="Tahoma"/>
          <w:sz w:val="24"/>
          <w:szCs w:val="24"/>
        </w:rPr>
      </w:pPr>
    </w:p>
    <w:p w:rsidR="009E0861" w:rsidRPr="008933AC" w:rsidRDefault="009E0861" w:rsidP="00A462CB">
      <w:pPr>
        <w:spacing w:after="0" w:line="276" w:lineRule="auto"/>
        <w:jc w:val="both"/>
        <w:rPr>
          <w:rFonts w:ascii="Tahoma" w:hAnsi="Tahoma" w:cs="Tahoma"/>
          <w:sz w:val="24"/>
          <w:szCs w:val="24"/>
        </w:rPr>
      </w:pPr>
      <w:r w:rsidRPr="008933AC">
        <w:rPr>
          <w:rFonts w:ascii="Tahoma" w:hAnsi="Tahoma" w:cs="Tahoma"/>
          <w:sz w:val="24"/>
          <w:szCs w:val="24"/>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8933AC">
        <w:rPr>
          <w:rFonts w:ascii="Tahoma" w:hAnsi="Tahoma" w:cs="Tahoma"/>
          <w:b/>
          <w:sz w:val="24"/>
          <w:szCs w:val="24"/>
        </w:rPr>
        <w:t>Voto Particular</w:t>
      </w:r>
      <w:r w:rsidRPr="008933AC">
        <w:rPr>
          <w:rFonts w:ascii="Tahoma" w:hAnsi="Tahoma" w:cs="Tahoma"/>
          <w:sz w:val="24"/>
          <w:szCs w:val="24"/>
        </w:rPr>
        <w:t xml:space="preserve"> por no compartir en su totalidad las consideraciones que sustentan la Resolución del Recurso de Revisión </w:t>
      </w:r>
      <w:r w:rsidR="00A742D1" w:rsidRPr="008933AC">
        <w:rPr>
          <w:rFonts w:ascii="Tahoma" w:hAnsi="Tahoma" w:cs="Tahoma"/>
          <w:sz w:val="24"/>
          <w:szCs w:val="24"/>
        </w:rPr>
        <w:t>0</w:t>
      </w:r>
      <w:r w:rsidR="00627F2B" w:rsidRPr="008933AC">
        <w:rPr>
          <w:rFonts w:ascii="Tahoma" w:hAnsi="Tahoma" w:cs="Tahoma"/>
          <w:sz w:val="24"/>
          <w:szCs w:val="24"/>
        </w:rPr>
        <w:t>29</w:t>
      </w:r>
      <w:r w:rsidR="007F41BF">
        <w:rPr>
          <w:rFonts w:ascii="Tahoma" w:hAnsi="Tahoma" w:cs="Tahoma"/>
          <w:sz w:val="24"/>
          <w:szCs w:val="24"/>
        </w:rPr>
        <w:t>90</w:t>
      </w:r>
      <w:r w:rsidR="00A742D1" w:rsidRPr="008933AC">
        <w:rPr>
          <w:rFonts w:ascii="Tahoma" w:hAnsi="Tahoma" w:cs="Tahoma"/>
          <w:sz w:val="24"/>
          <w:szCs w:val="24"/>
        </w:rPr>
        <w:t>/INFOEM/IP/RR/2018</w:t>
      </w:r>
      <w:r w:rsidR="00627F2B" w:rsidRPr="008933AC">
        <w:rPr>
          <w:rFonts w:ascii="Tahoma" w:hAnsi="Tahoma" w:cs="Tahoma"/>
          <w:sz w:val="24"/>
          <w:szCs w:val="24"/>
        </w:rPr>
        <w:t xml:space="preserve"> y su acumulado</w:t>
      </w:r>
      <w:r w:rsidRPr="008933AC">
        <w:rPr>
          <w:rFonts w:ascii="Tahoma" w:hAnsi="Tahoma" w:cs="Tahoma"/>
          <w:sz w:val="24"/>
          <w:szCs w:val="24"/>
        </w:rPr>
        <w:t>.</w:t>
      </w:r>
    </w:p>
    <w:p w:rsidR="009E0861" w:rsidRPr="008933AC" w:rsidRDefault="009E0861" w:rsidP="00A462CB">
      <w:pPr>
        <w:spacing w:after="0" w:line="276" w:lineRule="auto"/>
        <w:jc w:val="both"/>
        <w:rPr>
          <w:rFonts w:ascii="Tahoma" w:hAnsi="Tahoma" w:cs="Tahoma"/>
          <w:sz w:val="24"/>
          <w:szCs w:val="24"/>
        </w:rPr>
      </w:pPr>
    </w:p>
    <w:p w:rsidR="0020052A" w:rsidRDefault="00EA7E26" w:rsidP="00A462CB">
      <w:pPr>
        <w:spacing w:after="0" w:line="276" w:lineRule="auto"/>
        <w:jc w:val="both"/>
        <w:rPr>
          <w:rFonts w:ascii="Tahoma" w:hAnsi="Tahoma" w:cs="Tahoma"/>
          <w:sz w:val="24"/>
          <w:szCs w:val="24"/>
        </w:rPr>
      </w:pPr>
      <w:r w:rsidRPr="008933AC">
        <w:rPr>
          <w:rFonts w:ascii="Tahoma" w:hAnsi="Tahoma" w:cs="Tahoma"/>
          <w:sz w:val="24"/>
          <w:szCs w:val="24"/>
        </w:rPr>
        <w:t>C</w:t>
      </w:r>
      <w:r w:rsidR="009E0861" w:rsidRPr="008933AC">
        <w:rPr>
          <w:rFonts w:ascii="Tahoma" w:hAnsi="Tahoma" w:cs="Tahoma"/>
          <w:sz w:val="24"/>
          <w:szCs w:val="24"/>
        </w:rPr>
        <w:t xml:space="preserve">omo se desprende de la resolución </w:t>
      </w:r>
      <w:r w:rsidRPr="008933AC">
        <w:rPr>
          <w:rFonts w:ascii="Tahoma" w:hAnsi="Tahoma" w:cs="Tahoma"/>
          <w:sz w:val="24"/>
          <w:szCs w:val="24"/>
        </w:rPr>
        <w:t>que nos ocupa</w:t>
      </w:r>
      <w:r w:rsidR="009E0861" w:rsidRPr="008933AC">
        <w:rPr>
          <w:rFonts w:ascii="Tahoma" w:hAnsi="Tahoma" w:cs="Tahoma"/>
          <w:sz w:val="24"/>
          <w:szCs w:val="24"/>
        </w:rPr>
        <w:t>, el</w:t>
      </w:r>
      <w:r w:rsidR="00627F2B" w:rsidRPr="008933AC">
        <w:rPr>
          <w:rFonts w:ascii="Tahoma" w:hAnsi="Tahoma" w:cs="Tahoma"/>
          <w:sz w:val="24"/>
          <w:szCs w:val="24"/>
        </w:rPr>
        <w:t xml:space="preserve"> entonces solicitante requirió </w:t>
      </w:r>
      <w:r w:rsidR="0020052A">
        <w:rPr>
          <w:rFonts w:ascii="Tahoma" w:hAnsi="Tahoma" w:cs="Tahoma"/>
          <w:sz w:val="24"/>
          <w:szCs w:val="24"/>
        </w:rPr>
        <w:t xml:space="preserve">la </w:t>
      </w:r>
      <w:r w:rsidR="0020052A" w:rsidRPr="0020052A">
        <w:rPr>
          <w:rFonts w:ascii="Tahoma" w:hAnsi="Tahoma" w:cs="Tahoma"/>
          <w:sz w:val="24"/>
          <w:szCs w:val="24"/>
        </w:rPr>
        <w:t>nómina laboral de todo el personal adscrito al Ayuntamiento de Tepetlaoxtoc 2016 -2018, Estado de México</w:t>
      </w:r>
      <w:r w:rsidR="0020052A">
        <w:rPr>
          <w:rFonts w:ascii="Tahoma" w:hAnsi="Tahoma" w:cs="Tahoma"/>
          <w:sz w:val="24"/>
          <w:szCs w:val="24"/>
        </w:rPr>
        <w:t>; sin embargo el Sujeto Obligado clasificó parte de la información, por lo que se analizó cada uno de los puntos y se instruyó la entrega de la nómina en versión pública en la que se elimine la información confidencial, en los siguientes términos:</w:t>
      </w:r>
    </w:p>
    <w:p w:rsidR="0020052A" w:rsidRDefault="0020052A" w:rsidP="00A462CB">
      <w:pPr>
        <w:spacing w:after="0" w:line="276" w:lineRule="auto"/>
        <w:jc w:val="both"/>
        <w:rPr>
          <w:rFonts w:ascii="Tahoma" w:hAnsi="Tahoma" w:cs="Tahoma"/>
          <w:sz w:val="24"/>
          <w:szCs w:val="24"/>
        </w:rPr>
      </w:pPr>
    </w:p>
    <w:p w:rsidR="0020052A" w:rsidRDefault="0020052A" w:rsidP="0020052A">
      <w:pPr>
        <w:spacing w:after="0" w:line="276" w:lineRule="auto"/>
        <w:ind w:left="567" w:right="567"/>
        <w:jc w:val="both"/>
        <w:rPr>
          <w:rFonts w:ascii="Tahoma" w:hAnsi="Tahoma" w:cs="Tahoma"/>
          <w:sz w:val="20"/>
          <w:szCs w:val="20"/>
        </w:rPr>
      </w:pPr>
      <w:r w:rsidRPr="0020052A">
        <w:rPr>
          <w:rFonts w:ascii="Tahoma" w:hAnsi="Tahoma" w:cs="Tahoma"/>
          <w:sz w:val="20"/>
          <w:szCs w:val="20"/>
        </w:rPr>
        <w:t xml:space="preserve">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 </w:t>
      </w:r>
      <w:r w:rsidRPr="0020052A">
        <w:rPr>
          <w:rFonts w:ascii="Tahoma" w:hAnsi="Tahoma" w:cs="Tahoma"/>
          <w:b/>
          <w:sz w:val="20"/>
          <w:szCs w:val="20"/>
        </w:rPr>
        <w:t xml:space="preserve">Cadenas Originales y Sellos Digitales </w:t>
      </w:r>
      <w:r w:rsidRPr="00B30925">
        <w:rPr>
          <w:rFonts w:ascii="Tahoma" w:hAnsi="Tahoma" w:cs="Tahoma"/>
          <w:sz w:val="20"/>
          <w:szCs w:val="20"/>
        </w:rPr>
        <w:t>Códigos Bidimensionales</w:t>
      </w:r>
      <w:r w:rsidRPr="0020052A">
        <w:rPr>
          <w:rFonts w:ascii="Tahoma" w:hAnsi="Tahoma" w:cs="Tahoma"/>
          <w:b/>
          <w:sz w:val="20"/>
          <w:szCs w:val="20"/>
        </w:rPr>
        <w:t xml:space="preserve"> </w:t>
      </w:r>
      <w:r w:rsidRPr="0020052A">
        <w:rPr>
          <w:rFonts w:ascii="Tahoma" w:hAnsi="Tahoma" w:cs="Tahoma"/>
          <w:sz w:val="20"/>
          <w:szCs w:val="20"/>
        </w:rPr>
        <w:t>y los denominados Códigos QR.</w:t>
      </w:r>
    </w:p>
    <w:p w:rsidR="0020052A" w:rsidRPr="0020052A" w:rsidRDefault="0020052A" w:rsidP="0020052A">
      <w:pPr>
        <w:spacing w:after="0" w:line="276" w:lineRule="auto"/>
        <w:ind w:left="567" w:right="567"/>
        <w:jc w:val="both"/>
        <w:rPr>
          <w:rFonts w:ascii="Tahoma" w:hAnsi="Tahoma" w:cs="Tahoma"/>
          <w:sz w:val="20"/>
          <w:szCs w:val="20"/>
        </w:rPr>
      </w:pPr>
      <w:r>
        <w:rPr>
          <w:rFonts w:ascii="Tahoma" w:hAnsi="Tahoma" w:cs="Tahoma"/>
          <w:sz w:val="20"/>
          <w:szCs w:val="20"/>
        </w:rPr>
        <w:t>(Énfasis añadido).</w:t>
      </w:r>
    </w:p>
    <w:p w:rsidR="0020052A" w:rsidRDefault="0020052A" w:rsidP="00A462CB">
      <w:pPr>
        <w:spacing w:after="0" w:line="276" w:lineRule="auto"/>
        <w:jc w:val="both"/>
        <w:rPr>
          <w:rFonts w:ascii="Tahoma" w:hAnsi="Tahoma" w:cs="Tahoma"/>
          <w:sz w:val="24"/>
          <w:szCs w:val="24"/>
        </w:rPr>
      </w:pPr>
    </w:p>
    <w:p w:rsidR="00097A79" w:rsidRDefault="0044391A" w:rsidP="00A462CB">
      <w:pPr>
        <w:spacing w:after="0" w:line="276" w:lineRule="auto"/>
        <w:jc w:val="both"/>
        <w:rPr>
          <w:rFonts w:ascii="Tahoma" w:eastAsia="Arial Unicode MS" w:hAnsi="Tahoma" w:cs="Tahoma"/>
          <w:sz w:val="24"/>
          <w:szCs w:val="24"/>
        </w:rPr>
      </w:pPr>
      <w:r w:rsidRPr="008933AC">
        <w:rPr>
          <w:rFonts w:ascii="Tahoma" w:hAnsi="Tahoma" w:cs="Tahoma"/>
          <w:sz w:val="24"/>
          <w:szCs w:val="24"/>
        </w:rPr>
        <w:t xml:space="preserve">Sobre el particular, es de precisar que si bien se comparte que, </w:t>
      </w:r>
      <w:r w:rsidR="00485822" w:rsidRPr="008933AC">
        <w:rPr>
          <w:rFonts w:ascii="Tahoma" w:hAnsi="Tahoma" w:cs="Tahoma"/>
          <w:sz w:val="24"/>
          <w:szCs w:val="24"/>
        </w:rPr>
        <w:t xml:space="preserve">la información </w:t>
      </w:r>
      <w:r w:rsidR="00097A79">
        <w:rPr>
          <w:rFonts w:ascii="Tahoma" w:hAnsi="Tahoma" w:cs="Tahoma"/>
          <w:sz w:val="24"/>
          <w:szCs w:val="24"/>
        </w:rPr>
        <w:t xml:space="preserve">sobre el </w:t>
      </w:r>
      <w:r w:rsidR="00097A79" w:rsidRPr="00097A79">
        <w:rPr>
          <w:rFonts w:ascii="Tahoma" w:hAnsi="Tahoma" w:cs="Tahoma"/>
          <w:sz w:val="24"/>
          <w:szCs w:val="24"/>
        </w:rPr>
        <w:t xml:space="preserve">Registro Federal de Contribuyentes (RFC), la Clave Única de Registro de Población (CURP), la Clave de seguridad social (ISSEMYM, u otros), así como, los préstamos o </w:t>
      </w:r>
      <w:r w:rsidR="00097A79" w:rsidRPr="00097A79">
        <w:rPr>
          <w:rFonts w:ascii="Tahoma" w:hAnsi="Tahoma" w:cs="Tahoma"/>
          <w:sz w:val="24"/>
          <w:szCs w:val="24"/>
        </w:rPr>
        <w:lastRenderedPageBreak/>
        <w:t>descuentos que se le hagan al servidor público</w:t>
      </w:r>
      <w:r w:rsidR="00097A79">
        <w:rPr>
          <w:rFonts w:ascii="Tahoma" w:hAnsi="Tahoma" w:cs="Tahoma"/>
          <w:sz w:val="24"/>
          <w:szCs w:val="24"/>
        </w:rPr>
        <w:t xml:space="preserve"> de carácter personal</w:t>
      </w:r>
      <w:r w:rsidR="00485822" w:rsidRPr="008933AC">
        <w:rPr>
          <w:rFonts w:ascii="Tahoma" w:hAnsi="Tahoma" w:cs="Tahoma"/>
          <w:sz w:val="24"/>
          <w:szCs w:val="24"/>
        </w:rPr>
        <w:t xml:space="preserve">; </w:t>
      </w:r>
      <w:r w:rsidR="00097A79">
        <w:rPr>
          <w:rFonts w:ascii="Tahoma" w:hAnsi="Tahoma" w:cs="Tahoma"/>
          <w:sz w:val="24"/>
          <w:szCs w:val="24"/>
        </w:rPr>
        <w:t>son información confidencial por tratarse de datos personales</w:t>
      </w:r>
      <w:r w:rsidR="00A96CE5">
        <w:rPr>
          <w:rFonts w:ascii="Tahoma" w:hAnsi="Tahoma" w:cs="Tahoma"/>
          <w:sz w:val="24"/>
          <w:szCs w:val="24"/>
        </w:rPr>
        <w:t xml:space="preserve"> de los servidores públicos</w:t>
      </w:r>
      <w:r w:rsidR="00097A79">
        <w:rPr>
          <w:rFonts w:ascii="Tahoma" w:hAnsi="Tahoma" w:cs="Tahoma"/>
          <w:sz w:val="24"/>
          <w:szCs w:val="24"/>
        </w:rPr>
        <w:t xml:space="preserve">; </w:t>
      </w:r>
      <w:r w:rsidR="00485822" w:rsidRPr="008933AC">
        <w:rPr>
          <w:rFonts w:ascii="Tahoma" w:hAnsi="Tahoma" w:cs="Tahoma"/>
          <w:sz w:val="24"/>
          <w:szCs w:val="24"/>
        </w:rPr>
        <w:t>también lo es</w:t>
      </w:r>
      <w:r w:rsidR="00B30925">
        <w:rPr>
          <w:rFonts w:ascii="Tahoma" w:hAnsi="Tahoma" w:cs="Tahoma"/>
          <w:sz w:val="24"/>
          <w:szCs w:val="24"/>
        </w:rPr>
        <w:t xml:space="preserve"> que</w:t>
      </w:r>
      <w:r w:rsidR="00485822" w:rsidRPr="008933AC">
        <w:rPr>
          <w:rFonts w:ascii="Tahoma" w:hAnsi="Tahoma" w:cs="Tahoma"/>
          <w:sz w:val="24"/>
          <w:szCs w:val="24"/>
        </w:rPr>
        <w:t xml:space="preserve">, </w:t>
      </w:r>
      <w:r w:rsidR="00097A79">
        <w:rPr>
          <w:rFonts w:ascii="Tahoma" w:hAnsi="Tahoma" w:cs="Tahoma"/>
          <w:sz w:val="24"/>
          <w:szCs w:val="24"/>
        </w:rPr>
        <w:t>las</w:t>
      </w:r>
      <w:r w:rsidR="00722FE9" w:rsidRPr="008933AC">
        <w:rPr>
          <w:rFonts w:ascii="Tahoma" w:hAnsi="Tahoma" w:cs="Tahoma"/>
          <w:sz w:val="24"/>
          <w:szCs w:val="24"/>
        </w:rPr>
        <w:t xml:space="preserve"> cade</w:t>
      </w:r>
      <w:r w:rsidR="00722FE9" w:rsidRPr="008933AC">
        <w:rPr>
          <w:rFonts w:ascii="Tahoma" w:eastAsia="Arial Unicode MS" w:hAnsi="Tahoma" w:cs="Tahoma"/>
          <w:sz w:val="24"/>
          <w:szCs w:val="24"/>
        </w:rPr>
        <w:t>nas originales de sellos digitales</w:t>
      </w:r>
      <w:r w:rsidR="00097A79">
        <w:rPr>
          <w:rFonts w:ascii="Tahoma" w:eastAsia="Arial Unicode MS" w:hAnsi="Tahoma" w:cs="Tahoma"/>
          <w:sz w:val="24"/>
          <w:szCs w:val="24"/>
        </w:rPr>
        <w:t xml:space="preserve"> no contienen datos personales confidenciales</w:t>
      </w:r>
      <w:r w:rsidR="00A96CE5">
        <w:rPr>
          <w:rFonts w:ascii="Tahoma" w:eastAsia="Arial Unicode MS" w:hAnsi="Tahoma" w:cs="Tahoma"/>
          <w:sz w:val="24"/>
          <w:szCs w:val="24"/>
        </w:rPr>
        <w:t>, como los precisados por la Ponencia Resolutora</w:t>
      </w:r>
      <w:r w:rsidR="00722FE9" w:rsidRPr="008933AC">
        <w:rPr>
          <w:rFonts w:ascii="Tahoma" w:eastAsia="Arial Unicode MS" w:hAnsi="Tahoma" w:cs="Tahoma"/>
          <w:sz w:val="24"/>
          <w:szCs w:val="24"/>
        </w:rPr>
        <w:t>.</w:t>
      </w:r>
      <w:r w:rsidR="00097A79">
        <w:rPr>
          <w:rFonts w:ascii="Tahoma" w:eastAsia="Arial Unicode MS" w:hAnsi="Tahoma" w:cs="Tahoma"/>
          <w:sz w:val="24"/>
          <w:szCs w:val="24"/>
        </w:rPr>
        <w:t xml:space="preserve"> En efecto, se llevó a cabo la revisión de algunas facturas y recibos de nómina, sin que de dichos sellos </w:t>
      </w:r>
      <w:r w:rsidR="00A96CE5">
        <w:rPr>
          <w:rFonts w:ascii="Tahoma" w:eastAsia="Arial Unicode MS" w:hAnsi="Tahoma" w:cs="Tahoma"/>
          <w:sz w:val="24"/>
          <w:szCs w:val="24"/>
        </w:rPr>
        <w:t xml:space="preserve">o cadenas, </w:t>
      </w:r>
      <w:r w:rsidR="00097A79">
        <w:rPr>
          <w:rFonts w:ascii="Tahoma" w:eastAsia="Arial Unicode MS" w:hAnsi="Tahoma" w:cs="Tahoma"/>
          <w:sz w:val="24"/>
          <w:szCs w:val="24"/>
        </w:rPr>
        <w:t>se advierta la lectura de RFC o la clave CURP</w:t>
      </w:r>
      <w:r w:rsidR="00A96CE5">
        <w:rPr>
          <w:rFonts w:ascii="Tahoma" w:eastAsia="Arial Unicode MS" w:hAnsi="Tahoma" w:cs="Tahoma"/>
          <w:sz w:val="24"/>
          <w:szCs w:val="24"/>
        </w:rPr>
        <w:t xml:space="preserve"> del titular</w:t>
      </w:r>
      <w:r w:rsidR="00097A79">
        <w:rPr>
          <w:rFonts w:ascii="Tahoma" w:eastAsia="Arial Unicode MS" w:hAnsi="Tahoma" w:cs="Tahoma"/>
          <w:sz w:val="24"/>
          <w:szCs w:val="24"/>
        </w:rPr>
        <w:t>.</w:t>
      </w:r>
    </w:p>
    <w:p w:rsidR="00B73847" w:rsidRDefault="00B73847" w:rsidP="00A462CB">
      <w:pPr>
        <w:spacing w:after="0" w:line="276" w:lineRule="auto"/>
        <w:jc w:val="both"/>
        <w:rPr>
          <w:rFonts w:ascii="Tahoma" w:eastAsia="Arial Unicode MS" w:hAnsi="Tahoma" w:cs="Tahoma"/>
          <w:sz w:val="24"/>
          <w:szCs w:val="24"/>
        </w:rPr>
      </w:pPr>
    </w:p>
    <w:p w:rsidR="00B73847" w:rsidRDefault="00B73847" w:rsidP="00A462CB">
      <w:pPr>
        <w:spacing w:after="0" w:line="276" w:lineRule="auto"/>
        <w:jc w:val="both"/>
        <w:rPr>
          <w:rFonts w:ascii="Tahoma" w:eastAsia="Arial Unicode MS" w:hAnsi="Tahoma" w:cs="Tahoma"/>
          <w:sz w:val="24"/>
          <w:szCs w:val="24"/>
        </w:rPr>
      </w:pPr>
      <w:r>
        <w:rPr>
          <w:rFonts w:ascii="Tahoma" w:eastAsia="Arial Unicode MS" w:hAnsi="Tahoma" w:cs="Tahoma"/>
          <w:sz w:val="24"/>
          <w:szCs w:val="24"/>
        </w:rPr>
        <w:t>A manera de ejemplo, se reproduce el sello de un recibo de nómina.</w:t>
      </w:r>
    </w:p>
    <w:p w:rsidR="00B73847" w:rsidRDefault="00B73847" w:rsidP="00A462CB">
      <w:pPr>
        <w:spacing w:after="0" w:line="276" w:lineRule="auto"/>
        <w:jc w:val="both"/>
        <w:rPr>
          <w:rFonts w:ascii="Tahoma" w:eastAsia="Arial Unicode MS" w:hAnsi="Tahoma" w:cs="Tahoma"/>
          <w:sz w:val="24"/>
          <w:szCs w:val="24"/>
        </w:rPr>
      </w:pPr>
      <w:r>
        <w:rPr>
          <w:noProof/>
          <w:lang w:val="es-MX" w:eastAsia="es-MX"/>
        </w:rPr>
        <w:drawing>
          <wp:inline distT="0" distB="0" distL="0" distR="0" wp14:anchorId="0CAA75A8" wp14:editId="0B1BB918">
            <wp:extent cx="5321015" cy="191068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163" t="41723" r="11060" b="28002"/>
                    <a:stretch/>
                  </pic:blipFill>
                  <pic:spPr bwMode="auto">
                    <a:xfrm>
                      <a:off x="0" y="0"/>
                      <a:ext cx="5455846" cy="1959101"/>
                    </a:xfrm>
                    <a:prstGeom prst="rect">
                      <a:avLst/>
                    </a:prstGeom>
                    <a:ln>
                      <a:noFill/>
                    </a:ln>
                    <a:extLst>
                      <a:ext uri="{53640926-AAD7-44D8-BBD7-CCE9431645EC}">
                        <a14:shadowObscured xmlns:a14="http://schemas.microsoft.com/office/drawing/2010/main"/>
                      </a:ext>
                    </a:extLst>
                  </pic:spPr>
                </pic:pic>
              </a:graphicData>
            </a:graphic>
          </wp:inline>
        </w:drawing>
      </w:r>
    </w:p>
    <w:p w:rsidR="00B73847" w:rsidRDefault="00722FE9" w:rsidP="00A462CB">
      <w:pPr>
        <w:spacing w:after="0" w:line="276" w:lineRule="auto"/>
        <w:jc w:val="both"/>
        <w:rPr>
          <w:rFonts w:ascii="Tahoma" w:eastAsia="Arial Unicode MS" w:hAnsi="Tahoma" w:cs="Tahoma"/>
          <w:sz w:val="24"/>
          <w:szCs w:val="24"/>
        </w:rPr>
      </w:pPr>
      <w:r w:rsidRPr="008933AC">
        <w:rPr>
          <w:rFonts w:ascii="Tahoma" w:eastAsia="Arial Unicode MS" w:hAnsi="Tahoma" w:cs="Tahoma"/>
          <w:sz w:val="24"/>
          <w:szCs w:val="24"/>
        </w:rPr>
        <w:t xml:space="preserve"> </w:t>
      </w:r>
      <w:r w:rsidR="00B73847">
        <w:rPr>
          <w:rFonts w:ascii="Tahoma" w:eastAsia="Arial Unicode MS" w:hAnsi="Tahoma" w:cs="Tahoma"/>
          <w:sz w:val="24"/>
          <w:szCs w:val="24"/>
        </w:rPr>
        <w:t xml:space="preserve">Como se aprecia, de la secuencia de números y letras, no se advierte </w:t>
      </w:r>
      <w:r w:rsidR="00B30925">
        <w:rPr>
          <w:rFonts w:ascii="Tahoma" w:eastAsia="Arial Unicode MS" w:hAnsi="Tahoma" w:cs="Tahoma"/>
          <w:sz w:val="24"/>
          <w:szCs w:val="24"/>
        </w:rPr>
        <w:t>un</w:t>
      </w:r>
      <w:r w:rsidR="00B73847">
        <w:rPr>
          <w:rFonts w:ascii="Tahoma" w:eastAsia="Arial Unicode MS" w:hAnsi="Tahoma" w:cs="Tahoma"/>
          <w:sz w:val="24"/>
          <w:szCs w:val="24"/>
        </w:rPr>
        <w:t xml:space="preserve"> RFC o </w:t>
      </w:r>
      <w:r w:rsidR="00B30925">
        <w:rPr>
          <w:rFonts w:ascii="Tahoma" w:eastAsia="Arial Unicode MS" w:hAnsi="Tahoma" w:cs="Tahoma"/>
          <w:sz w:val="24"/>
          <w:szCs w:val="24"/>
        </w:rPr>
        <w:t>una clave</w:t>
      </w:r>
      <w:r w:rsidR="00B73847">
        <w:rPr>
          <w:rFonts w:ascii="Tahoma" w:eastAsia="Arial Unicode MS" w:hAnsi="Tahoma" w:cs="Tahoma"/>
          <w:sz w:val="24"/>
          <w:szCs w:val="24"/>
        </w:rPr>
        <w:t xml:space="preserve"> CURP, que pudiera hacer identificable a</w:t>
      </w:r>
      <w:r w:rsidR="002C7EBD">
        <w:rPr>
          <w:rFonts w:ascii="Tahoma" w:eastAsia="Arial Unicode MS" w:hAnsi="Tahoma" w:cs="Tahoma"/>
          <w:sz w:val="24"/>
          <w:szCs w:val="24"/>
        </w:rPr>
        <w:t>l</w:t>
      </w:r>
      <w:r w:rsidR="00B73847">
        <w:rPr>
          <w:rFonts w:ascii="Tahoma" w:eastAsia="Arial Unicode MS" w:hAnsi="Tahoma" w:cs="Tahoma"/>
          <w:sz w:val="24"/>
          <w:szCs w:val="24"/>
        </w:rPr>
        <w:t xml:space="preserve"> titular</w:t>
      </w:r>
      <w:r w:rsidR="002C7EBD">
        <w:rPr>
          <w:rFonts w:ascii="Tahoma" w:eastAsia="Arial Unicode MS" w:hAnsi="Tahoma" w:cs="Tahoma"/>
          <w:sz w:val="24"/>
          <w:szCs w:val="24"/>
        </w:rPr>
        <w:t xml:space="preserve"> del recibo de nómina del ejemplo citado</w:t>
      </w:r>
      <w:r w:rsidR="00B73847">
        <w:rPr>
          <w:rFonts w:ascii="Tahoma" w:eastAsia="Arial Unicode MS" w:hAnsi="Tahoma" w:cs="Tahoma"/>
          <w:sz w:val="24"/>
          <w:szCs w:val="24"/>
        </w:rPr>
        <w:t>, a diferencia del Código QR, que con</w:t>
      </w:r>
      <w:r w:rsidR="00B30925">
        <w:rPr>
          <w:rFonts w:ascii="Tahoma" w:eastAsia="Arial Unicode MS" w:hAnsi="Tahoma" w:cs="Tahoma"/>
          <w:sz w:val="24"/>
          <w:szCs w:val="24"/>
        </w:rPr>
        <w:t xml:space="preserve"> simple</w:t>
      </w:r>
      <w:r w:rsidR="00B73847">
        <w:rPr>
          <w:rFonts w:ascii="Tahoma" w:eastAsia="Arial Unicode MS" w:hAnsi="Tahoma" w:cs="Tahoma"/>
          <w:sz w:val="24"/>
          <w:szCs w:val="24"/>
        </w:rPr>
        <w:t xml:space="preserve"> el escaneo con cualquier aparato de celular, permite acceder al RFC. </w:t>
      </w:r>
      <w:r w:rsidR="002C7EBD">
        <w:rPr>
          <w:rFonts w:ascii="Tahoma" w:eastAsia="Arial Unicode MS" w:hAnsi="Tahoma" w:cs="Tahoma"/>
          <w:sz w:val="24"/>
          <w:szCs w:val="24"/>
        </w:rPr>
        <w:t>Por el contrario, debe considerarse que</w:t>
      </w:r>
      <w:r w:rsidR="00B73847">
        <w:rPr>
          <w:rFonts w:ascii="Tahoma" w:eastAsia="Arial Unicode MS" w:hAnsi="Tahoma" w:cs="Tahoma"/>
          <w:sz w:val="24"/>
          <w:szCs w:val="24"/>
        </w:rPr>
        <w:t xml:space="preserve"> </w:t>
      </w:r>
      <w:r w:rsidR="00B30925">
        <w:rPr>
          <w:rFonts w:ascii="Tahoma" w:eastAsia="Arial Unicode MS" w:hAnsi="Tahoma" w:cs="Tahoma"/>
          <w:sz w:val="24"/>
          <w:szCs w:val="24"/>
        </w:rPr>
        <w:t>esta información</w:t>
      </w:r>
      <w:r w:rsidR="00B73847">
        <w:rPr>
          <w:rFonts w:ascii="Tahoma" w:eastAsia="Arial Unicode MS" w:hAnsi="Tahoma" w:cs="Tahoma"/>
          <w:sz w:val="24"/>
          <w:szCs w:val="24"/>
        </w:rPr>
        <w:t xml:space="preserve"> inclu</w:t>
      </w:r>
      <w:r w:rsidR="002C7EBD">
        <w:rPr>
          <w:rFonts w:ascii="Tahoma" w:eastAsia="Arial Unicode MS" w:hAnsi="Tahoma" w:cs="Tahoma"/>
          <w:sz w:val="24"/>
          <w:szCs w:val="24"/>
        </w:rPr>
        <w:t>id</w:t>
      </w:r>
      <w:r w:rsidR="00B30925">
        <w:rPr>
          <w:rFonts w:ascii="Tahoma" w:eastAsia="Arial Unicode MS" w:hAnsi="Tahoma" w:cs="Tahoma"/>
          <w:sz w:val="24"/>
          <w:szCs w:val="24"/>
        </w:rPr>
        <w:t>a en</w:t>
      </w:r>
      <w:r w:rsidR="00B73847">
        <w:rPr>
          <w:rFonts w:ascii="Tahoma" w:eastAsia="Arial Unicode MS" w:hAnsi="Tahoma" w:cs="Tahoma"/>
          <w:sz w:val="24"/>
          <w:szCs w:val="24"/>
        </w:rPr>
        <w:t xml:space="preserve"> los recibos de nómina</w:t>
      </w:r>
      <w:r w:rsidR="002C7EBD">
        <w:rPr>
          <w:rFonts w:ascii="Tahoma" w:eastAsia="Arial Unicode MS" w:hAnsi="Tahoma" w:cs="Tahoma"/>
          <w:sz w:val="24"/>
          <w:szCs w:val="24"/>
        </w:rPr>
        <w:t>,</w:t>
      </w:r>
      <w:r w:rsidR="00B73847">
        <w:rPr>
          <w:rFonts w:ascii="Tahoma" w:eastAsia="Arial Unicode MS" w:hAnsi="Tahoma" w:cs="Tahoma"/>
          <w:sz w:val="24"/>
          <w:szCs w:val="24"/>
        </w:rPr>
        <w:t xml:space="preserve"> constituyen un elemento adicional que permite </w:t>
      </w:r>
      <w:r w:rsidR="00B30925">
        <w:rPr>
          <w:rFonts w:ascii="Tahoma" w:eastAsia="Arial Unicode MS" w:hAnsi="Tahoma" w:cs="Tahoma"/>
          <w:sz w:val="24"/>
          <w:szCs w:val="24"/>
        </w:rPr>
        <w:t xml:space="preserve">a cualquier persona </w:t>
      </w:r>
      <w:r w:rsidR="00B73847">
        <w:rPr>
          <w:rFonts w:ascii="Tahoma" w:eastAsia="Arial Unicode MS" w:hAnsi="Tahoma" w:cs="Tahoma"/>
          <w:sz w:val="24"/>
          <w:szCs w:val="24"/>
        </w:rPr>
        <w:t xml:space="preserve">verificar la legitimidad del documento </w:t>
      </w:r>
      <w:r w:rsidR="00B30925">
        <w:rPr>
          <w:rFonts w:ascii="Tahoma" w:eastAsia="Arial Unicode MS" w:hAnsi="Tahoma" w:cs="Tahoma"/>
          <w:sz w:val="24"/>
          <w:szCs w:val="24"/>
        </w:rPr>
        <w:t xml:space="preserve">entregado </w:t>
      </w:r>
      <w:r w:rsidR="002C7EBD">
        <w:rPr>
          <w:rFonts w:ascii="Tahoma" w:eastAsia="Arial Unicode MS" w:hAnsi="Tahoma" w:cs="Tahoma"/>
          <w:sz w:val="24"/>
          <w:szCs w:val="24"/>
        </w:rPr>
        <w:t xml:space="preserve">en una solicitud de acceso a la información </w:t>
      </w:r>
      <w:r w:rsidR="00B73847">
        <w:rPr>
          <w:rFonts w:ascii="Tahoma" w:eastAsia="Arial Unicode MS" w:hAnsi="Tahoma" w:cs="Tahoma"/>
          <w:sz w:val="24"/>
          <w:szCs w:val="24"/>
        </w:rPr>
        <w:t>y, por sí solos no contienen datos personales susceptibles de clasificación</w:t>
      </w:r>
      <w:r w:rsidR="00B30925">
        <w:rPr>
          <w:rFonts w:ascii="Tahoma" w:eastAsia="Arial Unicode MS" w:hAnsi="Tahoma" w:cs="Tahoma"/>
          <w:sz w:val="24"/>
          <w:szCs w:val="24"/>
        </w:rPr>
        <w:t>, ya que no hacen identificado o identificable a su titular</w:t>
      </w:r>
      <w:r w:rsidR="002C7EBD">
        <w:rPr>
          <w:rFonts w:ascii="Tahoma" w:eastAsia="Arial Unicode MS" w:hAnsi="Tahoma" w:cs="Tahoma"/>
          <w:sz w:val="24"/>
          <w:szCs w:val="24"/>
        </w:rPr>
        <w:t>, pues dichos datos sólo son de utilidad de manera directa a la Secretaría de Hacienda y Crédito Público y si bien, dichas cadenas sí derivan de la información personal de los contribuyentes está encriptada como se verá a continuación.</w:t>
      </w:r>
    </w:p>
    <w:p w:rsidR="00B73847" w:rsidRDefault="00B73847" w:rsidP="00A462CB">
      <w:pPr>
        <w:spacing w:after="0" w:line="276" w:lineRule="auto"/>
        <w:jc w:val="both"/>
        <w:rPr>
          <w:rFonts w:ascii="Tahoma" w:eastAsia="Arial Unicode MS" w:hAnsi="Tahoma" w:cs="Tahoma"/>
          <w:sz w:val="24"/>
          <w:szCs w:val="24"/>
        </w:rPr>
      </w:pPr>
    </w:p>
    <w:p w:rsidR="00B30925" w:rsidRDefault="00B73847" w:rsidP="00A462CB">
      <w:pPr>
        <w:spacing w:after="0" w:line="276" w:lineRule="auto"/>
        <w:jc w:val="both"/>
        <w:rPr>
          <w:rFonts w:ascii="Tahoma" w:eastAsia="Arial Unicode MS" w:hAnsi="Tahoma" w:cs="Tahoma"/>
          <w:sz w:val="24"/>
          <w:szCs w:val="24"/>
        </w:rPr>
      </w:pPr>
      <w:r w:rsidRPr="00B73847">
        <w:rPr>
          <w:rFonts w:ascii="Tahoma" w:eastAsia="Arial Unicode MS" w:hAnsi="Tahoma" w:cs="Tahoma"/>
          <w:sz w:val="24"/>
          <w:szCs w:val="24"/>
        </w:rPr>
        <w:t>La</w:t>
      </w:r>
      <w:r>
        <w:rPr>
          <w:rFonts w:ascii="Tahoma" w:eastAsia="Arial Unicode MS" w:hAnsi="Tahoma" w:cs="Tahoma"/>
          <w:sz w:val="24"/>
          <w:szCs w:val="24"/>
        </w:rPr>
        <w:t>s</w:t>
      </w:r>
      <w:r w:rsidRPr="00B73847">
        <w:rPr>
          <w:rFonts w:ascii="Tahoma" w:eastAsia="Arial Unicode MS" w:hAnsi="Tahoma" w:cs="Tahoma"/>
          <w:sz w:val="24"/>
          <w:szCs w:val="24"/>
        </w:rPr>
        <w:t xml:space="preserve"> cadena</w:t>
      </w:r>
      <w:r>
        <w:rPr>
          <w:rFonts w:ascii="Tahoma" w:eastAsia="Arial Unicode MS" w:hAnsi="Tahoma" w:cs="Tahoma"/>
          <w:sz w:val="24"/>
          <w:szCs w:val="24"/>
        </w:rPr>
        <w:t>s</w:t>
      </w:r>
      <w:r w:rsidRPr="00B73847">
        <w:rPr>
          <w:rFonts w:ascii="Tahoma" w:eastAsia="Arial Unicode MS" w:hAnsi="Tahoma" w:cs="Tahoma"/>
          <w:sz w:val="24"/>
          <w:szCs w:val="24"/>
        </w:rPr>
        <w:t xml:space="preserve"> original</w:t>
      </w:r>
      <w:r>
        <w:rPr>
          <w:rFonts w:ascii="Tahoma" w:eastAsia="Arial Unicode MS" w:hAnsi="Tahoma" w:cs="Tahoma"/>
          <w:sz w:val="24"/>
          <w:szCs w:val="24"/>
        </w:rPr>
        <w:t>es y sellos que se agregan a recibos de nómina e incluso a facturas,</w:t>
      </w:r>
      <w:r w:rsidRPr="00B73847">
        <w:rPr>
          <w:rFonts w:ascii="Tahoma" w:eastAsia="Arial Unicode MS" w:hAnsi="Tahoma" w:cs="Tahoma"/>
          <w:sz w:val="24"/>
          <w:szCs w:val="24"/>
        </w:rPr>
        <w:t xml:space="preserve"> tiene una secuencia de generación</w:t>
      </w:r>
      <w:r>
        <w:rPr>
          <w:rFonts w:ascii="Tahoma" w:eastAsia="Arial Unicode MS" w:hAnsi="Tahoma" w:cs="Tahoma"/>
          <w:sz w:val="24"/>
          <w:szCs w:val="24"/>
        </w:rPr>
        <w:t>, determinados c</w:t>
      </w:r>
      <w:r w:rsidRPr="00B73847">
        <w:rPr>
          <w:rFonts w:ascii="Tahoma" w:eastAsia="Arial Unicode MS" w:hAnsi="Tahoma" w:cs="Tahoma"/>
          <w:sz w:val="24"/>
          <w:szCs w:val="24"/>
        </w:rPr>
        <w:t xml:space="preserve">on base en el ANEXO 20 de la Segunda Resolución de modificaciones a la Resolución Miscelánea Fiscal para </w:t>
      </w:r>
      <w:r>
        <w:rPr>
          <w:rFonts w:ascii="Tahoma" w:eastAsia="Arial Unicode MS" w:hAnsi="Tahoma" w:cs="Tahoma"/>
          <w:sz w:val="24"/>
          <w:szCs w:val="24"/>
        </w:rPr>
        <w:t>diecisiete</w:t>
      </w:r>
      <w:r w:rsidRPr="00B73847">
        <w:rPr>
          <w:rFonts w:ascii="Tahoma" w:eastAsia="Arial Unicode MS" w:hAnsi="Tahoma" w:cs="Tahoma"/>
          <w:sz w:val="24"/>
          <w:szCs w:val="24"/>
        </w:rPr>
        <w:t xml:space="preserve">, publicada </w:t>
      </w:r>
      <w:r>
        <w:rPr>
          <w:rFonts w:ascii="Tahoma" w:eastAsia="Arial Unicode MS" w:hAnsi="Tahoma" w:cs="Tahoma"/>
          <w:sz w:val="24"/>
          <w:szCs w:val="24"/>
        </w:rPr>
        <w:t xml:space="preserve">en el Diario Oficial de la Federación </w:t>
      </w:r>
      <w:r w:rsidRPr="00B73847">
        <w:rPr>
          <w:rFonts w:ascii="Tahoma" w:eastAsia="Arial Unicode MS" w:hAnsi="Tahoma" w:cs="Tahoma"/>
          <w:sz w:val="24"/>
          <w:szCs w:val="24"/>
        </w:rPr>
        <w:t xml:space="preserve">el </w:t>
      </w:r>
      <w:r>
        <w:rPr>
          <w:rFonts w:ascii="Tahoma" w:eastAsia="Arial Unicode MS" w:hAnsi="Tahoma" w:cs="Tahoma"/>
          <w:sz w:val="24"/>
          <w:szCs w:val="24"/>
        </w:rPr>
        <w:t xml:space="preserve">dieciocho </w:t>
      </w:r>
      <w:r w:rsidRPr="00B73847">
        <w:rPr>
          <w:rFonts w:ascii="Tahoma" w:eastAsia="Arial Unicode MS" w:hAnsi="Tahoma" w:cs="Tahoma"/>
          <w:sz w:val="24"/>
          <w:szCs w:val="24"/>
        </w:rPr>
        <w:t xml:space="preserve">de julio </w:t>
      </w:r>
      <w:r w:rsidRPr="00B73847">
        <w:rPr>
          <w:rFonts w:ascii="Tahoma" w:eastAsia="Arial Unicode MS" w:hAnsi="Tahoma" w:cs="Tahoma"/>
          <w:sz w:val="24"/>
          <w:szCs w:val="24"/>
        </w:rPr>
        <w:lastRenderedPageBreak/>
        <w:t xml:space="preserve">de </w:t>
      </w:r>
      <w:r>
        <w:rPr>
          <w:rFonts w:ascii="Tahoma" w:eastAsia="Arial Unicode MS" w:hAnsi="Tahoma" w:cs="Tahoma"/>
          <w:sz w:val="24"/>
          <w:szCs w:val="24"/>
        </w:rPr>
        <w:t>dos mil diecisiete</w:t>
      </w:r>
      <w:r w:rsidR="00390188">
        <w:rPr>
          <w:rFonts w:ascii="Tahoma" w:eastAsia="Arial Unicode MS" w:hAnsi="Tahoma" w:cs="Tahoma"/>
          <w:sz w:val="24"/>
          <w:szCs w:val="24"/>
        </w:rPr>
        <w:t xml:space="preserve">, disponible en la dirección electrónica </w:t>
      </w:r>
      <w:hyperlink r:id="rId9" w:history="1">
        <w:r w:rsidR="00390188" w:rsidRPr="009C164F">
          <w:rPr>
            <w:rStyle w:val="Hipervnculo"/>
            <w:rFonts w:ascii="Tahoma" w:eastAsia="Arial Unicode MS" w:hAnsi="Tahoma" w:cs="Tahoma"/>
            <w:sz w:val="24"/>
            <w:szCs w:val="24"/>
          </w:rPr>
          <w:t>http://omawww.sat.gob.mx/informacion_fiscal/factura_electronica/Paginas/requisitos_factura_electronica_cfdi.aspx</w:t>
        </w:r>
      </w:hyperlink>
      <w:r w:rsidR="00390188">
        <w:rPr>
          <w:rFonts w:ascii="Tahoma" w:eastAsia="Arial Unicode MS" w:hAnsi="Tahoma" w:cs="Tahoma"/>
          <w:sz w:val="24"/>
          <w:szCs w:val="24"/>
        </w:rPr>
        <w:t>.</w:t>
      </w:r>
    </w:p>
    <w:p w:rsidR="00B30925" w:rsidRDefault="00B30925" w:rsidP="00A462CB">
      <w:pPr>
        <w:spacing w:after="0" w:line="276" w:lineRule="auto"/>
        <w:jc w:val="both"/>
        <w:rPr>
          <w:rFonts w:ascii="Tahoma" w:eastAsia="Arial Unicode MS" w:hAnsi="Tahoma" w:cs="Tahoma"/>
          <w:sz w:val="24"/>
          <w:szCs w:val="24"/>
        </w:rPr>
      </w:pPr>
    </w:p>
    <w:p w:rsidR="00B30925" w:rsidRDefault="00B30925" w:rsidP="00A462CB">
      <w:pPr>
        <w:spacing w:after="0" w:line="276" w:lineRule="auto"/>
        <w:jc w:val="both"/>
        <w:rPr>
          <w:rFonts w:ascii="Tahoma" w:eastAsia="Arial Unicode MS" w:hAnsi="Tahoma" w:cs="Tahoma"/>
          <w:sz w:val="24"/>
          <w:szCs w:val="24"/>
        </w:rPr>
      </w:pPr>
      <w:r>
        <w:rPr>
          <w:rFonts w:ascii="Tahoma" w:eastAsia="Arial Unicode MS" w:hAnsi="Tahoma" w:cs="Tahoma"/>
          <w:sz w:val="24"/>
          <w:szCs w:val="24"/>
        </w:rPr>
        <w:t xml:space="preserve">En esta, se precisan los datos de los que se componen los elementos de seguridad y </w:t>
      </w:r>
      <w:r w:rsidR="00A96CE5">
        <w:rPr>
          <w:rFonts w:ascii="Tahoma" w:eastAsia="Arial Unicode MS" w:hAnsi="Tahoma" w:cs="Tahoma"/>
          <w:sz w:val="24"/>
          <w:szCs w:val="24"/>
        </w:rPr>
        <w:t>se puntualiza que</w:t>
      </w:r>
      <w:r>
        <w:rPr>
          <w:rFonts w:ascii="Tahoma" w:eastAsia="Arial Unicode MS" w:hAnsi="Tahoma" w:cs="Tahoma"/>
          <w:sz w:val="24"/>
          <w:szCs w:val="24"/>
        </w:rPr>
        <w:t xml:space="preserve"> dicha información está encriptada.</w:t>
      </w:r>
    </w:p>
    <w:p w:rsidR="00B30925" w:rsidRDefault="00B30925" w:rsidP="00A462CB">
      <w:pPr>
        <w:spacing w:after="0" w:line="276" w:lineRule="auto"/>
        <w:jc w:val="both"/>
        <w:rPr>
          <w:rFonts w:ascii="Tahoma" w:eastAsia="Arial Unicode MS" w:hAnsi="Tahoma" w:cs="Tahoma"/>
          <w:sz w:val="24"/>
          <w:szCs w:val="24"/>
        </w:rPr>
      </w:pPr>
    </w:p>
    <w:p w:rsidR="00B30925" w:rsidRPr="00B30925" w:rsidRDefault="00B30925" w:rsidP="00B30925">
      <w:pPr>
        <w:spacing w:after="70" w:line="208" w:lineRule="exact"/>
        <w:ind w:left="567" w:right="567"/>
        <w:jc w:val="both"/>
        <w:rPr>
          <w:rFonts w:ascii="Arial" w:hAnsi="Arial" w:cs="Arial"/>
          <w:sz w:val="20"/>
          <w:szCs w:val="20"/>
        </w:rPr>
      </w:pPr>
      <w:r w:rsidRPr="00B30925">
        <w:rPr>
          <w:rFonts w:ascii="Arial" w:hAnsi="Arial" w:cs="Arial"/>
          <w:sz w:val="20"/>
          <w:szCs w:val="20"/>
        </w:rPr>
        <w:t>Elementos utilizados en la generación de Sellos Digitales:</w:t>
      </w:r>
    </w:p>
    <w:p w:rsidR="00B30925" w:rsidRPr="00B30925" w:rsidRDefault="00B30925" w:rsidP="00B30925">
      <w:pPr>
        <w:spacing w:after="70" w:line="208" w:lineRule="exact"/>
        <w:ind w:left="567" w:right="567" w:hanging="396"/>
        <w:jc w:val="both"/>
        <w:rPr>
          <w:rFonts w:ascii="Arial" w:hAnsi="Arial" w:cs="Arial"/>
          <w:sz w:val="20"/>
          <w:szCs w:val="20"/>
        </w:rPr>
      </w:pPr>
      <w:r w:rsidRPr="00B30925">
        <w:rPr>
          <w:rFonts w:ascii="Arial" w:hAnsi="Arial" w:cs="Arial"/>
          <w:sz w:val="20"/>
          <w:szCs w:val="20"/>
        </w:rPr>
        <w:sym w:font="Symbol" w:char="F0B7"/>
      </w:r>
      <w:r w:rsidRPr="00B30925">
        <w:rPr>
          <w:rFonts w:ascii="Arial" w:hAnsi="Arial" w:cs="Arial"/>
          <w:sz w:val="20"/>
          <w:szCs w:val="20"/>
        </w:rPr>
        <w:tab/>
        <w:t>Cadena Original, el elemento a sellar, en este caso de un comprobante fiscal digital a través de Internet.</w:t>
      </w:r>
    </w:p>
    <w:p w:rsidR="00B30925" w:rsidRPr="00B30925" w:rsidRDefault="00B30925" w:rsidP="00B30925">
      <w:pPr>
        <w:spacing w:after="70" w:line="208" w:lineRule="exact"/>
        <w:ind w:left="567" w:right="567" w:hanging="396"/>
        <w:jc w:val="both"/>
        <w:rPr>
          <w:rFonts w:ascii="Arial" w:hAnsi="Arial" w:cs="Arial"/>
          <w:sz w:val="20"/>
          <w:szCs w:val="20"/>
        </w:rPr>
      </w:pPr>
      <w:r w:rsidRPr="00B30925">
        <w:rPr>
          <w:rFonts w:ascii="Arial" w:hAnsi="Arial" w:cs="Arial"/>
          <w:sz w:val="20"/>
          <w:szCs w:val="20"/>
        </w:rPr>
        <w:sym w:font="Symbol" w:char="F0B7"/>
      </w:r>
      <w:r w:rsidRPr="00B30925">
        <w:rPr>
          <w:rFonts w:ascii="Arial" w:hAnsi="Arial" w:cs="Arial"/>
          <w:sz w:val="20"/>
          <w:szCs w:val="20"/>
        </w:rPr>
        <w:tab/>
        <w:t>Certificado de Sello Digital y su correspondiente clave privada.</w:t>
      </w:r>
    </w:p>
    <w:p w:rsidR="00B30925" w:rsidRPr="00B30925" w:rsidRDefault="00B30925" w:rsidP="00B30925">
      <w:pPr>
        <w:spacing w:after="70" w:line="208" w:lineRule="exact"/>
        <w:ind w:left="567" w:right="567" w:hanging="396"/>
        <w:jc w:val="both"/>
        <w:rPr>
          <w:rFonts w:ascii="Arial" w:hAnsi="Arial" w:cs="Arial"/>
          <w:sz w:val="20"/>
          <w:szCs w:val="20"/>
        </w:rPr>
      </w:pPr>
      <w:r w:rsidRPr="00B30925">
        <w:rPr>
          <w:rFonts w:ascii="Arial" w:hAnsi="Arial" w:cs="Arial"/>
          <w:sz w:val="20"/>
          <w:szCs w:val="20"/>
        </w:rPr>
        <w:sym w:font="Symbol" w:char="F0B7"/>
      </w:r>
      <w:r w:rsidRPr="00B30925">
        <w:rPr>
          <w:rFonts w:ascii="Arial" w:hAnsi="Arial" w:cs="Arial"/>
          <w:sz w:val="20"/>
          <w:szCs w:val="20"/>
        </w:rPr>
        <w:tab/>
        <w:t>Algoritmos de criptografía de clave pública para firma electrónica avanzada.</w:t>
      </w:r>
    </w:p>
    <w:p w:rsidR="00B30925" w:rsidRPr="00B30925" w:rsidRDefault="00B30925" w:rsidP="00B30925">
      <w:pPr>
        <w:spacing w:after="70" w:line="208" w:lineRule="exact"/>
        <w:ind w:left="567" w:right="567" w:hanging="396"/>
        <w:jc w:val="both"/>
        <w:rPr>
          <w:rFonts w:ascii="Arial" w:hAnsi="Arial" w:cs="Arial"/>
          <w:sz w:val="20"/>
          <w:szCs w:val="20"/>
        </w:rPr>
      </w:pPr>
      <w:r w:rsidRPr="00B30925">
        <w:rPr>
          <w:rFonts w:ascii="Arial" w:hAnsi="Arial" w:cs="Arial"/>
          <w:sz w:val="20"/>
          <w:szCs w:val="20"/>
        </w:rPr>
        <w:sym w:font="Symbol" w:char="F0B7"/>
      </w:r>
      <w:r w:rsidRPr="00B30925">
        <w:rPr>
          <w:rFonts w:ascii="Arial" w:hAnsi="Arial" w:cs="Arial"/>
          <w:sz w:val="20"/>
          <w:szCs w:val="20"/>
        </w:rPr>
        <w:tab/>
        <w:t>Especificaciones de conversión de la firma electrónica avanzada a Base 64.</w:t>
      </w:r>
    </w:p>
    <w:p w:rsidR="00B30925" w:rsidRPr="00B30925" w:rsidRDefault="00B30925" w:rsidP="00B30925">
      <w:pPr>
        <w:spacing w:after="70" w:line="208" w:lineRule="exact"/>
        <w:ind w:left="567" w:right="567"/>
        <w:jc w:val="both"/>
        <w:rPr>
          <w:rFonts w:ascii="Arial" w:hAnsi="Arial" w:cs="Arial"/>
          <w:sz w:val="20"/>
          <w:szCs w:val="20"/>
        </w:rPr>
      </w:pPr>
      <w:r w:rsidRPr="00B30925">
        <w:rPr>
          <w:rFonts w:ascii="Arial" w:hAnsi="Arial" w:cs="Arial"/>
          <w:sz w:val="20"/>
          <w:szCs w:val="20"/>
        </w:rPr>
        <w:t>Para la generación de sellos digitales se utiliza criptografía de clave pública aplicada a una cadena original.</w:t>
      </w:r>
    </w:p>
    <w:p w:rsidR="00B30925" w:rsidRPr="00B30925" w:rsidRDefault="00B30925" w:rsidP="00B30925">
      <w:pPr>
        <w:spacing w:after="70" w:line="208" w:lineRule="exact"/>
        <w:ind w:left="567" w:right="567"/>
        <w:jc w:val="both"/>
        <w:rPr>
          <w:rFonts w:ascii="Arial" w:hAnsi="Arial" w:cs="Arial"/>
          <w:sz w:val="20"/>
          <w:szCs w:val="20"/>
        </w:rPr>
      </w:pPr>
      <w:r w:rsidRPr="00B30925">
        <w:rPr>
          <w:rFonts w:ascii="Arial" w:hAnsi="Arial" w:cs="Arial"/>
          <w:sz w:val="20"/>
          <w:szCs w:val="20"/>
        </w:rPr>
        <w:t xml:space="preserve">Criptografía de </w:t>
      </w:r>
      <w:smartTag w:uri="urn:schemas-microsoft-com:office:smarttags" w:element="PersonName">
        <w:smartTagPr>
          <w:attr w:name="ProductID" w:val="la Clave P￺blica"/>
        </w:smartTagPr>
        <w:r w:rsidRPr="00B30925">
          <w:rPr>
            <w:rFonts w:ascii="Arial" w:hAnsi="Arial" w:cs="Arial"/>
            <w:sz w:val="20"/>
            <w:szCs w:val="20"/>
          </w:rPr>
          <w:t>la Clave Pública</w:t>
        </w:r>
      </w:smartTag>
    </w:p>
    <w:p w:rsidR="00B30925" w:rsidRDefault="00B30925" w:rsidP="00B30925">
      <w:pPr>
        <w:spacing w:after="70" w:line="208" w:lineRule="exact"/>
        <w:ind w:left="567" w:right="567"/>
        <w:jc w:val="both"/>
        <w:rPr>
          <w:rFonts w:ascii="Arial" w:hAnsi="Arial" w:cs="Arial"/>
          <w:sz w:val="20"/>
          <w:szCs w:val="20"/>
        </w:rPr>
      </w:pPr>
      <w:r w:rsidRPr="00B30925">
        <w:rPr>
          <w:rFonts w:ascii="Arial" w:hAnsi="Arial" w:cs="Arial"/>
          <w:sz w:val="20"/>
          <w:szCs w:val="20"/>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B73847" w:rsidRPr="008933AC" w:rsidRDefault="00B73847" w:rsidP="00A462CB">
      <w:pPr>
        <w:spacing w:after="0" w:line="276" w:lineRule="auto"/>
        <w:jc w:val="both"/>
        <w:rPr>
          <w:rFonts w:ascii="Tahoma" w:eastAsia="Arial Unicode MS" w:hAnsi="Tahoma" w:cs="Tahoma"/>
          <w:sz w:val="24"/>
          <w:szCs w:val="24"/>
        </w:rPr>
      </w:pPr>
    </w:p>
    <w:p w:rsidR="00A96CE5" w:rsidRDefault="00B30925" w:rsidP="00A462CB">
      <w:pPr>
        <w:spacing w:after="0" w:line="276" w:lineRule="auto"/>
        <w:jc w:val="both"/>
        <w:rPr>
          <w:rFonts w:ascii="Tahoma" w:eastAsia="Arial Unicode MS" w:hAnsi="Tahoma" w:cs="Tahoma"/>
          <w:sz w:val="24"/>
          <w:szCs w:val="24"/>
        </w:rPr>
      </w:pPr>
      <w:r>
        <w:rPr>
          <w:rFonts w:ascii="Tahoma" w:eastAsia="Arial Unicode MS" w:hAnsi="Tahoma" w:cs="Tahoma"/>
          <w:sz w:val="24"/>
          <w:szCs w:val="24"/>
        </w:rPr>
        <w:t xml:space="preserve">Así, toda vez que por sí solos las cadenas originales y los sellos </w:t>
      </w:r>
      <w:r w:rsidR="00A96CE5">
        <w:rPr>
          <w:rFonts w:ascii="Tahoma" w:eastAsia="Arial Unicode MS" w:hAnsi="Tahoma" w:cs="Tahoma"/>
          <w:sz w:val="24"/>
          <w:szCs w:val="24"/>
        </w:rPr>
        <w:t>originales no contienen datos personales confidenciales, se considera que no debe instruirse su eliminación de las versiones públicas, ya que no actualizan en supuesto de confidencialidad previsto en el artículo 143, fracción I, de la Ley de Transparencia y Acceso a la Información Pública del Estado de México y Municipios</w:t>
      </w:r>
      <w:r w:rsidR="003973A2">
        <w:rPr>
          <w:rFonts w:ascii="Tahoma" w:eastAsia="Arial Unicode MS" w:hAnsi="Tahoma" w:cs="Tahoma"/>
          <w:sz w:val="24"/>
          <w:szCs w:val="24"/>
        </w:rPr>
        <w:t xml:space="preserve"> y por el contrario, son información que permite corroborar la legitimidad de los recibos de nómina.</w:t>
      </w:r>
    </w:p>
    <w:p w:rsidR="00A96CE5" w:rsidRDefault="00A96CE5" w:rsidP="00A462CB">
      <w:pPr>
        <w:spacing w:after="0" w:line="276" w:lineRule="auto"/>
        <w:jc w:val="both"/>
        <w:rPr>
          <w:rFonts w:ascii="Tahoma" w:eastAsia="Arial Unicode MS" w:hAnsi="Tahoma" w:cs="Tahoma"/>
          <w:sz w:val="24"/>
          <w:szCs w:val="24"/>
        </w:rPr>
      </w:pPr>
    </w:p>
    <w:p w:rsidR="009E0861" w:rsidRPr="008933AC" w:rsidRDefault="009E0861" w:rsidP="00A462CB">
      <w:pPr>
        <w:spacing w:after="0" w:line="276" w:lineRule="auto"/>
        <w:jc w:val="both"/>
        <w:rPr>
          <w:rFonts w:ascii="Tahoma" w:hAnsi="Tahoma" w:cs="Tahoma"/>
          <w:sz w:val="24"/>
          <w:szCs w:val="24"/>
        </w:rPr>
      </w:pPr>
      <w:r w:rsidRPr="008933AC">
        <w:rPr>
          <w:rFonts w:ascii="Tahoma" w:hAnsi="Tahoma" w:cs="Tahoma"/>
          <w:sz w:val="24"/>
          <w:szCs w:val="24"/>
        </w:rPr>
        <w:t xml:space="preserve">Así, con base en los razonamientos expuestos, </w:t>
      </w:r>
      <w:r w:rsidRPr="008933AC">
        <w:rPr>
          <w:rFonts w:ascii="Tahoma" w:hAnsi="Tahoma" w:cs="Tahoma"/>
          <w:b/>
          <w:sz w:val="24"/>
          <w:szCs w:val="24"/>
        </w:rPr>
        <w:t>se emite el presente Voto Particular</w:t>
      </w:r>
      <w:r w:rsidRPr="008933AC">
        <w:rPr>
          <w:rFonts w:ascii="Tahoma" w:hAnsi="Tahoma" w:cs="Tahoma"/>
          <w:sz w:val="24"/>
          <w:szCs w:val="24"/>
        </w:rPr>
        <w:t>.</w:t>
      </w:r>
    </w:p>
    <w:p w:rsidR="00553ADE" w:rsidRPr="008933AC" w:rsidRDefault="00553ADE" w:rsidP="00A462CB">
      <w:pPr>
        <w:spacing w:after="0" w:line="276" w:lineRule="auto"/>
        <w:jc w:val="center"/>
        <w:rPr>
          <w:rFonts w:ascii="Tahoma" w:hAnsi="Tahoma" w:cs="Tahoma"/>
          <w:sz w:val="24"/>
          <w:szCs w:val="24"/>
        </w:rPr>
      </w:pPr>
    </w:p>
    <w:p w:rsidR="00553ADE" w:rsidRPr="008933AC" w:rsidRDefault="00553ADE" w:rsidP="00A462CB">
      <w:pPr>
        <w:spacing w:after="0" w:line="276" w:lineRule="auto"/>
        <w:jc w:val="both"/>
        <w:rPr>
          <w:rFonts w:ascii="Tahoma" w:hAnsi="Tahoma" w:cs="Tahoma"/>
          <w:sz w:val="24"/>
          <w:szCs w:val="24"/>
        </w:rPr>
      </w:pPr>
      <w:bookmarkStart w:id="0" w:name="_GoBack"/>
      <w:bookmarkEnd w:id="0"/>
    </w:p>
    <w:p w:rsidR="00553ADE" w:rsidRPr="008933AC" w:rsidRDefault="00553ADE" w:rsidP="00A462CB">
      <w:pPr>
        <w:spacing w:after="0" w:line="276" w:lineRule="auto"/>
        <w:jc w:val="center"/>
        <w:rPr>
          <w:rFonts w:ascii="Tahoma" w:hAnsi="Tahoma" w:cs="Tahoma"/>
          <w:b/>
          <w:sz w:val="24"/>
          <w:szCs w:val="24"/>
        </w:rPr>
      </w:pPr>
      <w:r w:rsidRPr="008933AC">
        <w:rPr>
          <w:rFonts w:ascii="Tahoma" w:hAnsi="Tahoma" w:cs="Tahoma"/>
          <w:b/>
          <w:sz w:val="24"/>
          <w:szCs w:val="24"/>
        </w:rPr>
        <w:t>Luis Gustavo Parra Noriega</w:t>
      </w:r>
    </w:p>
    <w:p w:rsidR="003512C9" w:rsidRPr="008933AC" w:rsidRDefault="00553ADE" w:rsidP="00F44957">
      <w:pPr>
        <w:spacing w:after="0" w:line="276" w:lineRule="auto"/>
        <w:jc w:val="center"/>
        <w:rPr>
          <w:rFonts w:ascii="Tahoma" w:hAnsi="Tahoma" w:cs="Tahoma"/>
          <w:sz w:val="24"/>
          <w:szCs w:val="24"/>
        </w:rPr>
      </w:pPr>
      <w:r w:rsidRPr="008933AC">
        <w:rPr>
          <w:rFonts w:ascii="Tahoma" w:hAnsi="Tahoma" w:cs="Tahoma"/>
          <w:sz w:val="24"/>
          <w:szCs w:val="24"/>
        </w:rPr>
        <w:t>Comisionado</w:t>
      </w:r>
    </w:p>
    <w:sectPr w:rsidR="003512C9" w:rsidRPr="008933AC" w:rsidSect="00950355">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E21" w:rsidRDefault="00A54E21" w:rsidP="00EE29F6">
      <w:pPr>
        <w:spacing w:after="0" w:line="240" w:lineRule="auto"/>
      </w:pPr>
      <w:r>
        <w:separator/>
      </w:r>
    </w:p>
  </w:endnote>
  <w:endnote w:type="continuationSeparator" w:id="0">
    <w:p w:rsidR="00A54E21" w:rsidRDefault="00A54E21"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B6D1A">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B6D1A">
              <w:rPr>
                <w:b/>
                <w:bCs/>
                <w:noProof/>
              </w:rPr>
              <w:t>3</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E21" w:rsidRDefault="00A54E21" w:rsidP="00EE29F6">
      <w:pPr>
        <w:spacing w:after="0" w:line="240" w:lineRule="auto"/>
      </w:pPr>
      <w:r>
        <w:separator/>
      </w:r>
    </w:p>
  </w:footnote>
  <w:footnote w:type="continuationSeparator" w:id="0">
    <w:p w:rsidR="00A54E21" w:rsidRDefault="00A54E21"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543DF4">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1106EA" w:rsidRDefault="00363357" w:rsidP="001106EA">
          <w:pPr>
            <w:pStyle w:val="Encabezado"/>
            <w:ind w:left="-108" w:right="-250"/>
            <w:jc w:val="both"/>
            <w:rPr>
              <w:rFonts w:ascii="Tahoma" w:hAnsi="Tahoma" w:cs="Tahoma"/>
            </w:rPr>
          </w:pPr>
        </w:p>
        <w:p w:rsidR="00363357" w:rsidRPr="001106EA" w:rsidRDefault="00363357" w:rsidP="001106EA">
          <w:pPr>
            <w:pStyle w:val="Encabezado"/>
            <w:ind w:left="-108" w:right="-250"/>
            <w:jc w:val="both"/>
            <w:rPr>
              <w:rFonts w:ascii="Tahoma" w:hAnsi="Tahoma" w:cs="Tahoma"/>
              <w:b/>
            </w:rPr>
          </w:pPr>
          <w:r w:rsidRPr="001106EA">
            <w:rPr>
              <w:rFonts w:ascii="Tahoma" w:hAnsi="Tahoma" w:cs="Tahoma"/>
              <w:b/>
            </w:rPr>
            <w:t>Voto Particular</w:t>
          </w:r>
        </w:p>
        <w:p w:rsidR="00363357" w:rsidRDefault="00363357" w:rsidP="00627F2B">
          <w:pPr>
            <w:pStyle w:val="Encabezado"/>
            <w:ind w:left="-108" w:right="-250"/>
            <w:jc w:val="both"/>
            <w:rPr>
              <w:rFonts w:ascii="Tahoma" w:hAnsi="Tahoma" w:cs="Tahoma"/>
              <w:b/>
            </w:rPr>
          </w:pPr>
          <w:r w:rsidRPr="001106EA">
            <w:rPr>
              <w:rFonts w:ascii="Tahoma" w:hAnsi="Tahoma" w:cs="Tahoma"/>
              <w:b/>
            </w:rPr>
            <w:t>Recurso de Revisión: 0</w:t>
          </w:r>
          <w:r>
            <w:rPr>
              <w:rFonts w:ascii="Tahoma" w:hAnsi="Tahoma" w:cs="Tahoma"/>
              <w:b/>
            </w:rPr>
            <w:t>29</w:t>
          </w:r>
          <w:r w:rsidR="00CF1B14">
            <w:rPr>
              <w:rFonts w:ascii="Tahoma" w:hAnsi="Tahoma" w:cs="Tahoma"/>
              <w:b/>
            </w:rPr>
            <w:t>90</w:t>
          </w:r>
          <w:r w:rsidRPr="001106EA">
            <w:rPr>
              <w:rFonts w:ascii="Tahoma" w:hAnsi="Tahoma" w:cs="Tahoma"/>
              <w:b/>
            </w:rPr>
            <w:t>/INFOEM/IP/RR/2018</w:t>
          </w:r>
          <w:r>
            <w:rPr>
              <w:rFonts w:ascii="Tahoma" w:hAnsi="Tahoma" w:cs="Tahoma"/>
              <w:b/>
            </w:rPr>
            <w:t xml:space="preserve"> y</w:t>
          </w:r>
        </w:p>
        <w:p w:rsidR="00363357" w:rsidRDefault="007F41BF" w:rsidP="00627F2B">
          <w:pPr>
            <w:pStyle w:val="Encabezado"/>
            <w:ind w:left="-108" w:right="-250"/>
            <w:jc w:val="both"/>
            <w:rPr>
              <w:rFonts w:ascii="Tahoma" w:hAnsi="Tahoma" w:cs="Tahoma"/>
              <w:b/>
            </w:rPr>
          </w:pPr>
          <w:r>
            <w:rPr>
              <w:rFonts w:ascii="Tahoma" w:hAnsi="Tahoma" w:cs="Tahoma"/>
              <w:b/>
            </w:rPr>
            <w:t>s</w:t>
          </w:r>
          <w:r w:rsidR="00CF1B14">
            <w:rPr>
              <w:rFonts w:ascii="Tahoma" w:hAnsi="Tahoma" w:cs="Tahoma"/>
              <w:b/>
            </w:rPr>
            <w:t>u acumulado.</w:t>
          </w:r>
        </w:p>
        <w:p w:rsidR="00363357" w:rsidRPr="001106EA" w:rsidRDefault="00363357" w:rsidP="007F41BF">
          <w:pPr>
            <w:pStyle w:val="Encabezado"/>
            <w:ind w:left="-108" w:right="-250"/>
            <w:jc w:val="both"/>
            <w:rPr>
              <w:rFonts w:ascii="Tahoma" w:hAnsi="Tahoma" w:cs="Tahoma"/>
            </w:rPr>
          </w:pPr>
          <w:r>
            <w:rPr>
              <w:rFonts w:ascii="Tahoma" w:hAnsi="Tahoma" w:cs="Tahoma"/>
              <w:b/>
            </w:rPr>
            <w:t xml:space="preserve">Comisionada Ponente: </w:t>
          </w:r>
          <w:r w:rsidR="007F41BF">
            <w:rPr>
              <w:rFonts w:ascii="Tahoma" w:hAnsi="Tahoma" w:cs="Tahoma"/>
              <w:b/>
            </w:rPr>
            <w:t>Zulema Martínez Sánchez</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0"/>
  </w:num>
  <w:num w:numId="6">
    <w:abstractNumId w:val="3"/>
  </w:num>
  <w:num w:numId="7">
    <w:abstractNumId w:val="8"/>
  </w:num>
  <w:num w:numId="8">
    <w:abstractNumId w:val="14"/>
  </w:num>
  <w:num w:numId="9">
    <w:abstractNumId w:val="11"/>
  </w:num>
  <w:num w:numId="10">
    <w:abstractNumId w:val="12"/>
  </w:num>
  <w:num w:numId="11">
    <w:abstractNumId w:val="13"/>
  </w:num>
  <w:num w:numId="12">
    <w:abstractNumId w:val="1"/>
  </w:num>
  <w:num w:numId="13">
    <w:abstractNumId w:val="7"/>
  </w:num>
  <w:num w:numId="14">
    <w:abstractNumId w:val="15"/>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600D"/>
    <w:rsid w:val="00020D08"/>
    <w:rsid w:val="0002483E"/>
    <w:rsid w:val="0002627D"/>
    <w:rsid w:val="0002759D"/>
    <w:rsid w:val="000301C6"/>
    <w:rsid w:val="000466A3"/>
    <w:rsid w:val="00056BD3"/>
    <w:rsid w:val="00060F74"/>
    <w:rsid w:val="0006561A"/>
    <w:rsid w:val="00087AC8"/>
    <w:rsid w:val="0009277A"/>
    <w:rsid w:val="00097988"/>
    <w:rsid w:val="00097A79"/>
    <w:rsid w:val="000B235B"/>
    <w:rsid w:val="000B7F6F"/>
    <w:rsid w:val="000C10B7"/>
    <w:rsid w:val="000D186F"/>
    <w:rsid w:val="0010688C"/>
    <w:rsid w:val="001106EA"/>
    <w:rsid w:val="001159DC"/>
    <w:rsid w:val="00116E1A"/>
    <w:rsid w:val="00136AD8"/>
    <w:rsid w:val="0014038B"/>
    <w:rsid w:val="00140A57"/>
    <w:rsid w:val="0014736A"/>
    <w:rsid w:val="00161815"/>
    <w:rsid w:val="00162325"/>
    <w:rsid w:val="00164625"/>
    <w:rsid w:val="00164BFE"/>
    <w:rsid w:val="0018472D"/>
    <w:rsid w:val="00193AA8"/>
    <w:rsid w:val="00197A72"/>
    <w:rsid w:val="001A145C"/>
    <w:rsid w:val="001A6BD9"/>
    <w:rsid w:val="001C1C64"/>
    <w:rsid w:val="001C363A"/>
    <w:rsid w:val="0020052A"/>
    <w:rsid w:val="00231B68"/>
    <w:rsid w:val="00243A13"/>
    <w:rsid w:val="00246FAF"/>
    <w:rsid w:val="00273B3C"/>
    <w:rsid w:val="0028037C"/>
    <w:rsid w:val="002816CB"/>
    <w:rsid w:val="00295BA5"/>
    <w:rsid w:val="002A138B"/>
    <w:rsid w:val="002A1727"/>
    <w:rsid w:val="002A2EE7"/>
    <w:rsid w:val="002B2877"/>
    <w:rsid w:val="002C2405"/>
    <w:rsid w:val="002C7EBD"/>
    <w:rsid w:val="002E4A9A"/>
    <w:rsid w:val="002E5A1A"/>
    <w:rsid w:val="00333B7A"/>
    <w:rsid w:val="003512C9"/>
    <w:rsid w:val="00363357"/>
    <w:rsid w:val="00390188"/>
    <w:rsid w:val="003973A2"/>
    <w:rsid w:val="003A6218"/>
    <w:rsid w:val="003B6547"/>
    <w:rsid w:val="003B7A5E"/>
    <w:rsid w:val="003F2426"/>
    <w:rsid w:val="003F48C2"/>
    <w:rsid w:val="0040139C"/>
    <w:rsid w:val="00412CB2"/>
    <w:rsid w:val="004211BB"/>
    <w:rsid w:val="00433746"/>
    <w:rsid w:val="00434C88"/>
    <w:rsid w:val="00435E69"/>
    <w:rsid w:val="0044391A"/>
    <w:rsid w:val="00445BDF"/>
    <w:rsid w:val="00447F6F"/>
    <w:rsid w:val="0045695E"/>
    <w:rsid w:val="00467ACB"/>
    <w:rsid w:val="00485822"/>
    <w:rsid w:val="00490F50"/>
    <w:rsid w:val="004A4555"/>
    <w:rsid w:val="004A555E"/>
    <w:rsid w:val="004B08C4"/>
    <w:rsid w:val="004B541F"/>
    <w:rsid w:val="004C4912"/>
    <w:rsid w:val="004C6E57"/>
    <w:rsid w:val="004E4CA3"/>
    <w:rsid w:val="004E7007"/>
    <w:rsid w:val="004F0B86"/>
    <w:rsid w:val="00524DA5"/>
    <w:rsid w:val="00526DBD"/>
    <w:rsid w:val="00543DF4"/>
    <w:rsid w:val="00544812"/>
    <w:rsid w:val="00550AA5"/>
    <w:rsid w:val="00553ADE"/>
    <w:rsid w:val="0056120D"/>
    <w:rsid w:val="00582CCB"/>
    <w:rsid w:val="00584D73"/>
    <w:rsid w:val="0059329D"/>
    <w:rsid w:val="005A2510"/>
    <w:rsid w:val="005C094E"/>
    <w:rsid w:val="005C73EE"/>
    <w:rsid w:val="005D11C8"/>
    <w:rsid w:val="005E2798"/>
    <w:rsid w:val="00600164"/>
    <w:rsid w:val="00605683"/>
    <w:rsid w:val="006248F2"/>
    <w:rsid w:val="00624DE5"/>
    <w:rsid w:val="00627F2B"/>
    <w:rsid w:val="00645087"/>
    <w:rsid w:val="00654ACD"/>
    <w:rsid w:val="00657396"/>
    <w:rsid w:val="00682003"/>
    <w:rsid w:val="00684B16"/>
    <w:rsid w:val="006B16FE"/>
    <w:rsid w:val="006B6D1A"/>
    <w:rsid w:val="006F5316"/>
    <w:rsid w:val="00722FE9"/>
    <w:rsid w:val="00724F08"/>
    <w:rsid w:val="007378E2"/>
    <w:rsid w:val="00742A15"/>
    <w:rsid w:val="0077694E"/>
    <w:rsid w:val="00781082"/>
    <w:rsid w:val="007A1071"/>
    <w:rsid w:val="007A2D13"/>
    <w:rsid w:val="007D3257"/>
    <w:rsid w:val="007D5554"/>
    <w:rsid w:val="007E3F77"/>
    <w:rsid w:val="007F1C1D"/>
    <w:rsid w:val="007F41BF"/>
    <w:rsid w:val="007F7D80"/>
    <w:rsid w:val="00802879"/>
    <w:rsid w:val="00836BC2"/>
    <w:rsid w:val="00861757"/>
    <w:rsid w:val="008629DC"/>
    <w:rsid w:val="00891412"/>
    <w:rsid w:val="008933AC"/>
    <w:rsid w:val="008A0447"/>
    <w:rsid w:val="008A1DE1"/>
    <w:rsid w:val="008A3DA9"/>
    <w:rsid w:val="008B08C9"/>
    <w:rsid w:val="008E54E2"/>
    <w:rsid w:val="009039FE"/>
    <w:rsid w:val="00922B2E"/>
    <w:rsid w:val="00924A73"/>
    <w:rsid w:val="00926581"/>
    <w:rsid w:val="00927BD1"/>
    <w:rsid w:val="00950355"/>
    <w:rsid w:val="0095470A"/>
    <w:rsid w:val="00954BF1"/>
    <w:rsid w:val="00962B86"/>
    <w:rsid w:val="00974836"/>
    <w:rsid w:val="009943E1"/>
    <w:rsid w:val="009B22ED"/>
    <w:rsid w:val="009B2C0B"/>
    <w:rsid w:val="009C0313"/>
    <w:rsid w:val="009D07E2"/>
    <w:rsid w:val="009D49BE"/>
    <w:rsid w:val="009E0861"/>
    <w:rsid w:val="009E41F7"/>
    <w:rsid w:val="00A13E40"/>
    <w:rsid w:val="00A14343"/>
    <w:rsid w:val="00A30C52"/>
    <w:rsid w:val="00A364BA"/>
    <w:rsid w:val="00A462CB"/>
    <w:rsid w:val="00A5061A"/>
    <w:rsid w:val="00A54E21"/>
    <w:rsid w:val="00A67498"/>
    <w:rsid w:val="00A742D1"/>
    <w:rsid w:val="00A87924"/>
    <w:rsid w:val="00A96933"/>
    <w:rsid w:val="00A96CE5"/>
    <w:rsid w:val="00AA090B"/>
    <w:rsid w:val="00AA261E"/>
    <w:rsid w:val="00AC333A"/>
    <w:rsid w:val="00AD25D5"/>
    <w:rsid w:val="00AF3B6B"/>
    <w:rsid w:val="00B15570"/>
    <w:rsid w:val="00B2355E"/>
    <w:rsid w:val="00B263C5"/>
    <w:rsid w:val="00B27BBC"/>
    <w:rsid w:val="00B30925"/>
    <w:rsid w:val="00B67355"/>
    <w:rsid w:val="00B71740"/>
    <w:rsid w:val="00B73847"/>
    <w:rsid w:val="00B7393F"/>
    <w:rsid w:val="00B761B1"/>
    <w:rsid w:val="00BB6EE3"/>
    <w:rsid w:val="00BC4882"/>
    <w:rsid w:val="00BC55D2"/>
    <w:rsid w:val="00BD06FC"/>
    <w:rsid w:val="00BD4705"/>
    <w:rsid w:val="00BD5DBE"/>
    <w:rsid w:val="00BF1AC9"/>
    <w:rsid w:val="00C0033F"/>
    <w:rsid w:val="00C0131C"/>
    <w:rsid w:val="00C30FD6"/>
    <w:rsid w:val="00C31FEE"/>
    <w:rsid w:val="00C55FFC"/>
    <w:rsid w:val="00C75CE0"/>
    <w:rsid w:val="00C920D4"/>
    <w:rsid w:val="00CA7627"/>
    <w:rsid w:val="00CC68E1"/>
    <w:rsid w:val="00CD4339"/>
    <w:rsid w:val="00CD6D0D"/>
    <w:rsid w:val="00CE50F9"/>
    <w:rsid w:val="00CF11EE"/>
    <w:rsid w:val="00CF1B14"/>
    <w:rsid w:val="00CF432B"/>
    <w:rsid w:val="00D05740"/>
    <w:rsid w:val="00D13875"/>
    <w:rsid w:val="00D15D07"/>
    <w:rsid w:val="00D160F2"/>
    <w:rsid w:val="00D342D7"/>
    <w:rsid w:val="00D357E1"/>
    <w:rsid w:val="00D37CDC"/>
    <w:rsid w:val="00D45BDF"/>
    <w:rsid w:val="00D51426"/>
    <w:rsid w:val="00D55429"/>
    <w:rsid w:val="00D65D0C"/>
    <w:rsid w:val="00D666D4"/>
    <w:rsid w:val="00D7239D"/>
    <w:rsid w:val="00D75FAE"/>
    <w:rsid w:val="00D76EA4"/>
    <w:rsid w:val="00D77F63"/>
    <w:rsid w:val="00D81CB3"/>
    <w:rsid w:val="00D9114A"/>
    <w:rsid w:val="00D932AD"/>
    <w:rsid w:val="00DA11C0"/>
    <w:rsid w:val="00DE4452"/>
    <w:rsid w:val="00DF6CA0"/>
    <w:rsid w:val="00E145E1"/>
    <w:rsid w:val="00E26123"/>
    <w:rsid w:val="00E34559"/>
    <w:rsid w:val="00E41481"/>
    <w:rsid w:val="00E416F8"/>
    <w:rsid w:val="00E656C1"/>
    <w:rsid w:val="00E80E84"/>
    <w:rsid w:val="00E82F77"/>
    <w:rsid w:val="00E83683"/>
    <w:rsid w:val="00E910F8"/>
    <w:rsid w:val="00EA7E26"/>
    <w:rsid w:val="00EB7128"/>
    <w:rsid w:val="00EE29F6"/>
    <w:rsid w:val="00F05A41"/>
    <w:rsid w:val="00F14384"/>
    <w:rsid w:val="00F44957"/>
    <w:rsid w:val="00F72D12"/>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mawww.sat.gob.mx/informacion_fiscal/factura_electronica/Paginas/requisitos_factura_electronica_cfdi.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68C75-8C90-4A27-88A2-E2ACB2B5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949</Words>
  <Characters>5220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15</cp:revision>
  <cp:lastPrinted>2018-10-01T19:36:00Z</cp:lastPrinted>
  <dcterms:created xsi:type="dcterms:W3CDTF">2018-10-15T19:40:00Z</dcterms:created>
  <dcterms:modified xsi:type="dcterms:W3CDTF">2018-10-16T18:08:00Z</dcterms:modified>
</cp:coreProperties>
</file>